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Hospodaření MS kraje skončilo přebytkem. Rating A1 je nejvyšší dosažitelný</w:t>
      </w:r>
    </w:p>
    <w:p>
      <w:pPr/>
      <w:r>
        <w:rPr/>
        <w:t xml:space="preserve">Navzdory ničivým záplavám, které loni v září postihly většinu území Moravskoslezského kraje, krajská kasa neskončila v mínusu. Místo škrtů přinesl rok 2024 investice, rezervy a důvěru mezinárodní ratingové agentury Moody's.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 jsme dnes schvalovali závěrečný účet Moravskoslezského kraje. Kraj je finančně na tom dobře, se stabilním výhledem."</w:t>
      </w:r>
    </w:p>
    <w:p>
      <w:pPr/>
      <w:r>
        <w:rPr/>
        <w:t xml:space="preserve">Hospodaření kraje skončilo přebytkem 700 milionů korun, a to i přesto, že původní rozpočtový plán předpokládal schodek až pět miliard. Kraj těžil z vyšších příjmů, ale také z přísné kontroly výdajů. Kraj dodnes neobdržel od státu příspěvek téměř půl miliardy korun, určený na úhradu prvotních povodňových škod. Finance budou chybět na připravené projekty a je možné, že si bude muset na investice půjčit.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"Problém je v tom, že jsme tu žádost dvakrát doplnili, aby nám na potřetí stát řekl, že nám ty peníze neposkytne. Byť teda máme potvrzenou mailovou komunikaci z ministerstva financí, že počítají s tím, že ty prostředky budou vyplaceny. A Moravskoslezský kraj už ty prostředky těm obcím vyplatil. A jak jsem řekl, uděláme všechno pro to, abychom ty obce podpořili a budeme na jejich straně."</w:t>
      </w:r>
    </w:p>
    <w:p>
      <w:pPr/>
      <w:r>
        <w:rPr/>
        <w:t xml:space="preserve">Moravskoslezský kraj získal znovu nejvyšší možný rating A1 se stabilním výhledem od renomované agentury Moody's. To je signál nejen pro občany, ale i pro investory.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66/hospodareni-ms-kraje-skoncilo-prebytkem-rating-a1-je-nejvyssi-dosazi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2026-04-20T21:16:33+02:00</dcterms:created>
  <dcterms:modified xsi:type="dcterms:W3CDTF">2026-04-20T21:16:33+02:00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