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ubytoven bude platit vyšší daň. Nájemníci prokazatelně působí problémy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40/sedm-ubytoven-bude-platit-vyssi-dan-najemnici-prokazatelne-pusob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