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je památkou, město o ni pravidelně pečuje</w:t>
      </w:r>
    </w:p>
    <w:p>
      <w:pPr/>
      <w:r>
        <w:rPr/>
        <w:t xml:space="preserve">Sochy, římsy i znak města na historickém objektu novojičínské radnice jsou z pískovce. Kámen je ušpiněný sazemi a prachem. Plochy, které jsou pravidelně vystaveny dešti, jsou napadeny řasami, lišejníky a mechy. S tím vším si teď poradí restaurátoři, kteří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Součástí zakázky je i oprava a nátěr loubí budovy radnice. Tyto práce navazují na první etapy záchovných kroků na této nemovité kulturní památce z předchozích let. V loňském roce se provedla úprava balkonu, spodních částí podloubí, na které byl nanesen ochranný nátěr proti vodě a psům, kteří spodní část znečišťují. A na balkoně se renovovalo celé zábradlí. </w:t>
      </w:r>
    </w:p>
    <w:p>
      <w:pPr/>
      <w:r>
        <w:rPr/>
        <w:t xml:space="preserve">Za dosavadní práce město zaplatilo dohromady 1 milion  845 tisíc korun. Větší část nákladů i tehdy pokryly dotace z Ministerstva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45/novojicinska-radnice-je-pamatkou-mesto-o-ni-pravidelne-pe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2026-06-23T18:21:47+02:00</dcterms:created>
  <dcterms:modified xsi:type="dcterms:W3CDTF">2026-06-23T18:21:47+02:00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