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trati mezi Suchdolem nad Odrou a Budišovem nad Budišovkou proběhl test bateriového vlaku Panter</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(ANO), náměstek hejtmana MS kraje</w:t>
      </w:r>
      <w:r>
        <w:rPr/>
        <w:t xml:space="preserve">: “Než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(ANO), náměstek hejtmana MS kraje</w:t>
      </w:r>
      <w:r>
        <w:rPr/>
        <w:t xml:space="preserve">: „Zatím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w:t>
      </w:r>
      <w:r>
        <w:rPr/>
        <w:t xml:space="preserve">: “„Říkám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(ANO), náměstek hejtmana MS kraje</w:t>
      </w:r>
      <w:r>
        <w:rPr/>
        <w:t xml:space="preserve">: “Už ušetřily skoro 120 tisíc litrů nafty, protože vlastně ten bateriový vlak tou baterií nahrazuje ten dieselový, který vždycky dál pokračoval. V budoucnu budou jezdit ty vlaky z Ostravy směrem do Suchdola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(ANO),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t xml:space="preserve">{{souvisejici-clanek-"11000049825"}}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843/na-trati-mezi-suchdolem-nad-odrou-a-budisovem-nad-budisovkou-probehl-test-baterioveho-vlaku-pa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2026-05-15T03:10:33+02:00</dcterms:created>
  <dcterms:modified xsi:type="dcterms:W3CDTF">2026-05-15T03:10:33+02:00</dcterms:modified>
</cp:coreProperties>
</file>

<file path=docProps/custom.xml><?xml version="1.0" encoding="utf-8"?>
<Properties xmlns="http://schemas.openxmlformats.org/officeDocument/2006/custom-properties" xmlns:vt="http://schemas.openxmlformats.org/officeDocument/2006/docPropsVTypes"/>
</file>