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budovy ve slezskoostravské Chittussiho ulici bude gastro, rozhodli tak občané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Druhá věc, která vzešla z té participace jako  požadovaná, byl nějaký prostor pro realizaci soukromých nebo i veřejných 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obsáhl.“</w:t>
      </w:r>
    </w:p>
    <w:p>
      <w:pPr/>
      <w:r>
        <w:rPr/>
        <w:t xml:space="preserve">Aby mohl objekt sloužit jako požadované komunitní místo,  počítá městský obvod samozřejmě s jeho rekonstrukcí.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a v tom objektu umisťujeme kavárnu s dětskou hernou a 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20/z-budovy-ve-slezskoostravske-chittussiho-ulici-bude-gastro-rozhodli-tak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