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už rok operuje pomocí robota Da Vinci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operací. Hlavně v oborech, když začnou chronologicky, nejvíce operací urologie, chirurgie, přidala se gynekologie a vzápětí, myslím, že zítra jsou první dvě operace bariatrické, které naše chirurgové začnou dělat."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 Czech republic, klinický manažer: </w:t>
      </w:r>
      <w:r>
        <w:rPr/>
        <w:t xml:space="preserve">"Každopádně myslím si, že Česká republika následuje celosvětový trend, co se týká této robotické chirurgie. A to znamená a věříme tomu, že každý pacient, který je indikovaný na danou technologii, by měl být operovaný roboticky."</w:t>
      </w:r>
    </w:p>
    <w:p>
      <w:pPr/>
      <w:r>
        <w:rPr/>
        <w:t xml:space="preserve">Robota za více než 60 milionů korun mohla nemocnice pořídit díky podpoře havířovské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457/nemocnice-v-havirove-uz-rok-operuje-pomoci-robot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2026-04-22T13:34:54+02:00</dcterms:created>
  <dcterms:modified xsi:type="dcterms:W3CDTF">2026-04-22T13:34:54+02:00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