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středoškoláci získali ocenění MS kraje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>
          <w:b w:val="1"/>
          <w:bCs w:val="1"/>
        </w:rPr>
        <w:t xml:space="preserve">Jakub Holub, oceněný žák: </w:t>
      </w:r>
      <w:r>
        <w:rPr/>
        <w:t xml:space="preserve">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 </w:t>
      </w:r>
      <w:r>
        <w:rPr/>
        <w:t xml:space="preserve">„Určitě plánujeme nějakou profesionální  kariéru do dalších let. Chtěli bychom se tím živit.“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Kromě drobných dárků získali ocenění žáci i zajímavou  finanční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126/uspesni-stredoskolaci-ziskali-ocenen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2026-04-30T10:52:40+02:00</dcterms:created>
  <dcterms:modified xsi:type="dcterms:W3CDTF">2026-04-30T10:52:40+02:00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