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padl divácký rekord mládežnického basketbalu. Akci Škola fandí basketbalu podpořilo přes 2 tisíce mladých fanoušků</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w:t>
      </w:r>
    </w:p>
    <w:p>
      <w:pPr/>
      <w:r>
        <w:rPr/>
        <w:t xml:space="preserve">Přestože domácímu týmu utkání těsně uteklo, Opava podlehla Ostravě 81:90, hráči během druhé a třetí čtvrtiny skóre dotahovali a děti hnaly tým dopředu. </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w:t>
      </w:r>
    </w:p>
    <w:p>
      <w:pPr/>
      <w:r>
        <w:rPr/>
        <w:t xml:space="preserve">Opava tak potvrdila pověst města s jednou z nejlepších basketbalových atmosfér v republice – tentokrát i mezi těmi nejmladšími fanoušky.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841/v-opave-padl-divacky-rekord-mladeznickeho-basketbalu-akci-skola-fandi-basketbalu-podporilo-pres-2-tisice-mladych-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2026-07-15T11:27:47+02:00</dcterms:created>
  <dcterms:modified xsi:type="dcterms:W3CDTF">2026-07-15T11:27:47+02:00</dcterms:modified>
</cp:coreProperties>
</file>

<file path=docProps/custom.xml><?xml version="1.0" encoding="utf-8"?>
<Properties xmlns="http://schemas.openxmlformats.org/officeDocument/2006/custom-properties" xmlns:vt="http://schemas.openxmlformats.org/officeDocument/2006/docPropsVTypes"/>
</file>