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podpoří nadané vysokoškoláky. Talent roku znamená i stipendium 50 tisíc korun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</w:t>
      </w:r>
      <w:hyperlink r:id="rId9" w:history="1">
        <w:r>
          <w:rPr/>
          <w:t xml:space="preserve">talentova.cz</w:t>
        </w:r>
      </w:hyperlink>
      <w:r>
        <w:rPr/>
        <w:t xml:space="preserve">. Návrh je nutné podat do 16. ledna. Ocenění studenti získají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852/ostrava-znovu-podpori-nadane-vysokoskolaky-talent-roku-znamena-i-stipendium-50-tisic-korun" TargetMode="External"/><Relationship Id="rId9" Type="http://schemas.openxmlformats.org/officeDocument/2006/relationships/hyperlink" Target="http://talent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2026-06-24T15:47:36+02:00</dcterms:created>
  <dcterms:modified xsi:type="dcterms:W3CDTF">2026-06-24T15:47:36+02:00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