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Dřevo, tradice a Vánoce: betlémáři se sjeli do Příbora</w:t>
      </w:r>
    </w:p>
    <w:p>
      <w:pPr/>
      <w:r>
        <w:rPr/>
        <w:t xml:space="preserve">Akce navazuje na silnou místní tradici, která sahá až do 18. století. Právě Příbor byl tehdy významným centrem betlémářské tvorby a setkání má tento odkaz připomínat a udržovat.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srdce.” </w:t>
      </w:r>
    </w:p>
    <w:p>
      <w:pPr/>
      <w:r>
        <w:rPr/>
        <w:t xml:space="preserve">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mechanické.”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65/drevo-tradice-a-vanoce-betlemari-se-sjeli-do-pri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2026-05-27T23:16:24+02:00</dcterms:created>
  <dcterms:modified xsi:type="dcterms:W3CDTF">2026-05-27T23:16:24+02:00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