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plánuje v r. 2026 proinvestovat 180 mil. Kč. Vrátí se také Corrency</w:t>
      </w:r>
    </w:p>
    <w:p>
      <w:pPr/>
      <w:r>
        <w:rPr/>
        <w:t xml:space="preserve">Na investice je v porubském rozpočtu pro rok 2026 vyčleněno zhruba 180 milionů korun, tedy podobně jako letos. Největší akcí bude dokončení nového hřbitova.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,,Náklady </w:t>
      </w:r>
      <w:r>
        <w:rPr>
          <w:i w:val="1"/>
          <w:iCs w:val="1"/>
        </w:rPr>
        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,,Nově se v rozpočtu </w:t>
      </w:r>
      <w:r>
        <w:rPr>
          <w:i w:val="1"/>
          <w:iCs w:val="1"/>
        </w:rPr>
        <w:t xml:space="preserve">objevuje položka na odlehčovací službu, kterou začínáme provozovat od ledna. No a mám radost, že se nám podařilo pokryt i investice na školách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Do Poruby se také vrací oblíbený program Corrency, který rodinám pomůže s nákupem školních potřeb nebo s úhradou volnočasových aktivit.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letošním roce jsme si dali pauzu, chtěli jsme vyhodnotit ty dva ročníky. Nakonec jsme to vyhodnotili tak, že v příštím roce do toho chceme znovu jít.”</w:t>
      </w:r>
    </w:p>
    <w:p>
      <w:pPr/>
      <w:r>
        <w:rPr/>
        <w:t xml:space="preserve">Rozpočet zatížily platy nepedagogických pracovníků, které bude nově financovat obec.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,,Příspěvek na žáka, který dostává každá obec, se sice zvýšil, ale nezvýšil se dostatečně. Pořád jsme v deficitu 35 milionů korun.”  </w:t>
      </w:r>
    </w:p>
    <w:p>
      <w:pPr/>
      <w:r>
        <w:rPr/>
        <w:t xml:space="preserve">Poruba bude i během roku aktivně hledat další zdroje financování. Pokud se je podaří získat, může se seznam projektů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49/ostravaporuba-planuje-v-r-2026-proinvestovat-180-mil-kc-vrati-se-take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2026-06-27T08:50:31+02:00</dcterms:created>
  <dcterms:modified xsi:type="dcterms:W3CDTF">2026-06-27T08:50:31+02:00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