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z radnice mířilo i do Slezské diakonie</w:t>
      </w:r>
    </w:p>
    <w:p>
      <w:pPr/>
      <w:r>
        <w:rPr/>
        <w:t xml:space="preserve">Pomoc Slezské diakonie rodinám v tíživé sociální situaci je velmi pestrá.</w:t>
      </w:r>
    </w:p>
    <w:p>
      <w:pPr/>
      <w:r>
        <w:rPr>
          <w:b w:val="1"/>
          <w:bCs w:val="1"/>
        </w:rPr>
        <w:t xml:space="preserve">Zuzana Hartmannová, vedoucí střediska F-M, Slezská diakonie:</w:t>
      </w:r>
      <w:r>
        <w:rPr/>
        <w:t xml:space="preserve"> "Pokud potřebují pomoci, co se týká výchovných kompetencí, rodičovských terapeutických činností, pomoci kontaktovat úřady, doprovody a tak dále, tak je velmi rádi podpoříme a pomůžeme jim."</w:t>
      </w:r>
    </w:p>
    <w:p>
      <w:pPr/>
      <w:r>
        <w:rPr/>
        <w:t xml:space="preserve">O jaké rodiny nejčastěji jde? Proč jsou rodiny v těchto problémech?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98/podekovani-z-radnice-mirilo-i-do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