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finanční podporu pro místní spolky</w:t>
      </w:r>
    </w:p>
    <w:p>
      <w:pPr/>
      <w:r>
        <w:rPr/>
        <w:t xml:space="preserve">Zastupitelé na svém posledním zasedání schválili žádosti pro rok 2026, které  byly v řádném termínu podány v rámci tohoto programu, a jednotlivým spolkům  přiznali finanční prostředky na jejich činnost.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„Tyto prostředky  jsou pro spolky zásadní. Je to na fungování spolku v průběhu celého roku. Jsou  tam zahrnuty všechny akce spolků na celý kalendářní rok a jejich výdaje budou z  tohoto rozpočtu kryty.“</w:t>
      </w:r>
    </w:p>
    <w:p>
      <w:pPr/>
      <w:r>
        <w:rPr/>
        <w:t xml:space="preserve">Jedenácti žadatelům byla schválena dotace v celkové výši 4 164 000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939/stonavsti-zastupitele-schvalili-financni-podporu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2026-07-16T01:39:21+02:00</dcterms:created>
  <dcterms:modified xsi:type="dcterms:W3CDTF">2026-07-16T01:39:21+02:00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