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klientem, s tím, že domov bude na tohoto klienta doplácet z jiných zdrojů.“</w:t>
      </w:r>
    </w:p>
    <w:p>
      <w:pPr/>
      <w:r>
        <w:rPr/>
        <w:t xml:space="preserve">Jak senioři reagovali na navýšení těchto plateb?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„Tak samozřejmě každý má rád peníze, takže jsou z toho smutní. Nicméně oni chápou i tu situaci a tím, že žijí v těch domovech, vidí, co vše dostávají zdarma.“</w:t>
      </w:r>
    </w:p>
    <w:p>
      <w:pPr/>
      <w:r>
        <w:rPr>
          <w:b w:val="1"/>
          <w:bCs w:val="1"/>
        </w:rPr>
        <w:t xml:space="preserve">Božena Motalová, seniorka:</w:t>
      </w:r>
      <w:r>
        <w:rPr/>
        <w:t xml:space="preserve"> „Šla jsem na tu schůzi, říkala jsem si tak 1 500. No, ale když řekli přes 2 000, tak mě to docela zaskočilo.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 myslím 21 tisíc a beru 22, 23 teď po zvýšení, tak to zvládnu perfektně. To jsem ráda, že nemusím nikoho obtěžovat.“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125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