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věnují se také existenciálním tématům. Na výstavě představují tvorbu, která sahá do studentských let. Právě jejich první společná výstava se uskutečnila, kdy jako studenti prodávali svá díla, a jmenovala se stejně jako ta současná -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maluju jakoby pro sebe, což může být trošku protimluv, protože jdu s kůží na trh. Mě fascinuje jakási odvrácená stránka lidské duše. V podstatě se snažím těmi obrazy mluvit tak, jako když básník píše básně, tak se snažím prostě z nějakých stavů vymalovat."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sochou s přesahem do nějakého objektu. Mě při té instalaci přišla super interakce s okolím, a to je jedno, jestli výstavu budou vnímat pozitivně nebo negativně."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hezká, mě zaujaly ty lodičky v láhvi."</w:t>
      </w:r>
    </w:p>
    <w:p>
      <w:pPr/>
      <w:r>
        <w:rPr/>
        <w:t xml:space="preserve">"Přijde mi, že v některých částech je taková až megalomanská a v některých je taková detailní a citlivá. A to si myslím, že je vlastně strašně zajímavé."</w:t>
      </w:r>
    </w:p>
    <w:p>
      <w:pPr/>
      <w:r>
        <w:rPr/>
        <w:t xml:space="preserve">Výstavu Opop taurant můžete v Galerii Dukla navštívit až do 10.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28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2026-04-21T09:26:11+02:00</dcterms:created>
  <dcterms:modified xsi:type="dcterms:W3CDTF">2026-04-21T09:26:11+02:00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