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Šenova se připravuje na stárnoucí populaci. Aktuálně zde staví byty pro seniory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Z DPH je to 38,9 milionu korun.“</w:t>
      </w:r>
    </w:p>
    <w:p>
      <w:pPr/>
      <w:r>
        <w:rPr/>
        <w:t xml:space="preserve">Město Šenov na tuto akci úspěšně podalo žádost o dotaci,  přičemž čerpá také zvýhodněný úvěr.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„Tímto krokem je  zajištěno 90% financování celé akce v rámci státního fondu podpor investic a  město Šenov v nejbližších dvou letech uhradí pouze 10% ze svého rozpočtu.  Zbytek bude dotace v kombinaci se zvýhodněným úvěrem.“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enov/11000054111/vedeni-senova-se-pripravuje-na-starnouci-populaci-aktualne-zde-stavi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2026-06-26T00:15:37+02:00</dcterms:created>
  <dcterms:modified xsi:type="dcterms:W3CDTF">2026-06-26T00:15:37+02:00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