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se v Porubě vrací po roční pauze a s větším objemem peněz. Rozdělí 4 miliony Kč</w:t>
      </w:r>
    </w:p>
    <w:p>
      <w:pPr/>
      <w:r>
        <w:rPr/>
        <w:t xml:space="preserve"> Děti do 15 let s trvalým pobytem v obvodu mohou prostřednictvím rodičů nebo zákonných zástupců v rámci projektu Corrency získat tisícikorunový příspěvek na zboží ve vybraných kamenných prodejnách v Porubě a také na kroužky.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"Konkrétně je Corrency zaměřeno na rodiny s dětmi v době začátku školního roku, kdy na ně dopadá největší množství nákladů. Chceme, aby to bylo na kamenné prodejny, abychom podpořili i místní obchodníky a tím, že rodič k té tisícovce musí přidat svoji tisícovku, tak se do té ekonomiky dostane ještě dvojnásobný počet financí."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784/corrency-se-v-porube-vraci-po-rocni-pauze-a-s-vetsim-objemem-penez-rozdeli-4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2026-07-07T06:02:44+02:00</dcterms:created>
  <dcterms:modified xsi:type="dcterms:W3CDTF">2026-07-07T06:02:44+02:00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