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Týle: máme 6 mrtvých“</w:t>
      </w:r>
    </w:p>
    <w:p>
      <w:pPr/>
      <w:r>
        <w:rPr/>
        <w:t xml:space="preserve">Ivan Týle (ODS), starosta města:</w:t>
      </w:r>
      <w:r>
        <w:rPr>
          <w:i w:val="1"/>
          <w:iCs w:val="1"/>
        </w:rPr>
        <w:t xml:space="preserve"> "Situace se dostává do normálu, řeky výrazným způsobem klesají, ta voda ustoupila, ukazuje škody, které napáchala především v té materiální oblasti. Bohužel ty zprávy nejsou příznivé ani v té oblasti lidských životů, v tuhle chvíli máme potvrzeno v celé naší oblasti spádové zhruba asi šest mrtvých, někteří utonuli, k některým se nedostala včas lékařská záchranná pomoc, je to samozřejmě velké tragédie. A potvrzuje to jenom to, že ten atak byl tak prudký, tak rychlý, že i přes všechna opatření, která od toho roku 1997 od těch prvních zátop byla nastavená, součinnost bych řekl s Integrovaným záchranným systémem fungovala skoro bezchybně, tak i přesto i tahleta hříčka přírody, tenhleten živel vyžádal tolik lidských životů."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7/povoden-2009-den-1-starosta-tyle-mame-6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2026-07-10T17:47:55+02:00</dcterms:created>
  <dcterms:modified xsi:type="dcterms:W3CDTF">2026-07-10T17:47:55+02:00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