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 EU na modernizaci školství</w:t>
      </w:r>
    </w:p>
    <w:p>
      <w:pPr/>
      <w:r>
        <w:rPr/>
        <w:t xml:space="preserve">Dotace mají zajistit lepší technické vybavení vzdělávacích zařízení, zavedení informačních technologií, multimediálního vybavení i na podporu vytváření a vybavení oborových center praktické přípravy pro strategická a tradiční odvětví.</w:t>
      </w:r>
    </w:p>
    <w:p>
      <w:pPr/>
      <w:r>
        <w:rPr/>
        <w:t xml:space="preserve">Projekty se s žádostmi o dotace předkládají Regionální radě Moravskoslezsko, která už dříve z evropských zdrojů podpořila celkem pětatřicet obdobně zaměřených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06/dotace-z-eu-na-modernizac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