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bude hospodařit s miliardovým schodkem</w:t>
      </w:r>
    </w:p>
    <w:p>
      <w:pPr/>
      <w:r>
        <w:rPr/>
        <w:t xml:space="preserve">Jedna z nejvýznamnějších investic, kterou Moravskoslezský kraj plánuje na příští rok, je výkup pozemků v průmyslové zóně Nad Barborou v Karviné. Je na ně vyčleněno 242 milionů korun a celkové náklady na její vybudování dosáhnou miliardy 200 milionů korun. Celkově kraj počítá s výdaji 9 miliard sedm set milionů korun.</w:t>
      </w:r>
    </w:p>
    <w:p>
      <w:pPr/>
      <w:r>
        <w:rPr/>
        <w:t xml:space="preserve">Miroslav Novák (ČSSD), hejtman MS kraje: “Rozpočet, který byl dnes schválen je schodkový. De facto je vyrovnaný, protože ten rozdíl mezi příjmy a výdaji je zajištěn tzv. kapitolou financování. Což je na jedné straně významný přebytek hospodaření roku 2014 a na straně druhé dočerpání úvěru.”</w:t>
      </w:r>
    </w:p>
    <w:p>
      <w:pPr/>
      <w:r>
        <w:rPr/>
        <w:t xml:space="preserve">Prioritou rozpočtu je prý zajištění chodu příspěvkových organizací, dopravní obslužnosti a realizace akcí spolufinancovaných z evropských zdrojů. Ve srovnání s letošním rokem vzrostou příjmy rozpočtu o 23 procent a to hlavně díky operačním programům. Výdaje na rok 2015 vzrostou o 17 procent .</w:t>
      </w:r>
    </w:p>
    <w:p>
      <w:pPr/>
      <w:r>
        <w:rPr/>
        <w:t xml:space="preserve">Josef Babka (KSČM), 1. náměstek hejtmana MS kraje: “Je pozitivní, že se nám podařilo přijmout rozpočet v těch parametrech, které máme.”</w:t>
      </w:r>
    </w:p>
    <w:p>
      <w:pPr/>
      <w:r>
        <w:rPr/>
        <w:t xml:space="preserve">Mezi největší investiční akce příštího roku patří stavba integrovaných výjezdových center v Ostravě a Třinci, rekonstrukce a modernizace silnic nebo zateplování škol. MS kraj má nejlepší rating ze všech krajů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49/ms-kraj-bude-hospodarit-s-miliardovym-scho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