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F-M uvažuje o koupi radaru</w:t>
      </w:r>
    </w:p>
    <w:p>
      <w:pPr/>
      <w:r>
        <w:rPr/>
        <w:t xml:space="preserve">Hustota provozu, neukázněnost řidičů a také velmi vysoké hodnoty naměřené radary umístěnými na výpadovkách, to jsou hlavní důvody, které vedení města vedou k rozhodnutí zakoupit ruční radar pro strážníky městské policie. V současné době o jeho koupi jedná se státní policií.</w:t>
      </w:r>
    </w:p>
    <w:p>
      <w:pPr/>
      <w:r>
        <w:rPr/>
        <w:t xml:space="preserve">Karel Deutscher (ČSSD), náměstek primátora města Frýdku-Místku: “Do konce roku bychom chtěli mít dohodu se státní policií o tom, jak bude radar používán. Zároveň chceme, aby naše městská policie používala radar jako viditelné zařízení, žádné umístění radaru někde za sloupem nebo stromem. Chceme, aby řidiči viděli, kde ten radar je, aby si na to dávali pozor a aby věděli, že se radar po městě pohybuje.”</w:t>
      </w:r>
    </w:p>
    <w:p>
      <w:pPr/>
      <w:r>
        <w:rPr/>
        <w:t xml:space="preserve">Městská policie by pak měla úzce spolupracovat s policií ČR. </w:t>
      </w:r>
    </w:p>
    <w:p>
      <w:pPr/>
      <w:r>
        <w:rPr/>
        <w:t xml:space="preserve">Vlastimil Starzyk, mluvčí PČR F-M: “Státní policie určuje strážníkům místa, na kterých mají měřit a vozidla zastavovat. Není to z důvodu, že bychom jim chtěli práci ztěžovat nebo znepříjemňovat. Naopak. Probíhají rozsáhlá jednání a spolupráce, kdy společně řešíme místa, na kterých budeme kontroly provádět s ohledem na porušování nejvyšší povolené rychlosti.”</w:t>
      </w:r>
    </w:p>
    <w:p>
      <w:pPr/>
      <w:r>
        <w:rPr/>
        <w:t xml:space="preserve">Cena radaru, který by pomohl uklidnit dopravní situaci ve městě, se pohybuje kolem tří set tisíc korun. Město by jej mohlo zakoupit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20/magistrat-mesta-fm-uvazuje-o-koupi-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2026-04-30T12:12:08+02:00</dcterms:created>
  <dcterms:modified xsi:type="dcterms:W3CDTF">2026-04-30T12:12:08+02:00</dcterms:modified>
</cp:coreProperties>
</file>

<file path=docProps/custom.xml><?xml version="1.0" encoding="utf-8"?>
<Properties xmlns="http://schemas.openxmlformats.org/officeDocument/2006/custom-properties" xmlns:vt="http://schemas.openxmlformats.org/officeDocument/2006/docPropsVTypes"/>
</file>