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Jaromír Gottvald, CSc.</w:t>
      </w:r>
    </w:p>
    <w:p>
      <w:pPr/>
      <w:r>
        <w:rPr>
          <w:i w:val="1"/>
          <w:iCs w:val="1"/>
        </w:rPr>
        <w:t xml:space="preserve">„Hlavní vize naší univerzity je prohlubovat spolupráci s podnikovou praxí v oblasti nejenom výuky pedagogické, ale i v oblasti vědy a výzkumu a samozřejmě výrazné internacionalizaci vysokého školství a tedy i naší univerzity, což není jenom spolupráce ve výměně studentů, pedagogů, ale zejména společné studijní obory a ta vrcholná forma spolupráce ve vědě a výzkumu."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6/vsbtu-volba-rektora-kandidat-prof-ing-jaromir-gottvald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2026-06-18T12:37:11+02:00</dcterms:created>
  <dcterms:modified xsi:type="dcterms:W3CDTF">2026-06-18T12:37:11+02:00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