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Ivo Vondrák, CSc.</w:t>
      </w:r>
    </w:p>
    <w:p>
      <w:pPr/>
      <w:r>
        <w:rPr>
          <w:i w:val="1"/>
          <w:iCs w:val="1"/>
        </w:rPr>
        <w:t xml:space="preserve">„V první řadě si myslím, že je třeba se zaměřit na vědu a výzkum. To je prioritní, protože extenzivní zdroje financování, které jdou za studenty, se budou časem snižovat. Samozřejmě z toho vyplývající je změna struktury vzdělávání, které by mělo jít cestou, jak zapojit studenty do výzkumných projektů, tzn. opustit to klasické memorování. Je to jakýsi prostor pro to spolupracovat s těmi studenty individuálně."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9/vsbtu-volba-rektora-kandidat-prof-ing-ivo-vondrak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2026-06-16T09:45:06+02:00</dcterms:created>
  <dcterms:modified xsi:type="dcterms:W3CDTF">2026-06-16T09:45:06+02:00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