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p>
      <w:pPr/>
      <w:r>
        <w:rPr/>
        <w:t xml:space="preserve">Jaroslav Palas(ČSSD), hejtman moravskoslezského kraje: </w:t>
      </w:r>
      <w:r>
        <w:rPr>
          <w:i w:val="1"/>
          <w:iCs w:val="1"/>
        </w:rPr>
        <w:t xml:space="preserve">"Jsem spokojen s tím, že se rozpočet schválil v těchto intencích. Samozřejmě, že nejsem spokojen s tím, že došlo meziročně ke snížení příjmové části, ale beru to jako realitu a výsledek krize této země. My musíme hospodařit s tím co máme a my samozřejmě zvládneme tento rok. Akcentovali jsme především to, aby byl zajištěn chod služeb občanům v sociální oblasti, školství a zdravotnictví. Do těchto oblastí jsme ten rozpočet oproti loňsku o 7 procent ještě zvýšili."</w:t>
      </w:r>
    </w:p>
    <w:p>
      <w:pPr/>
      <w:r>
        <w:rPr/>
        <w:t xml:space="preserve">Kraj bude v příštím roce investovat především do projektů spolufinancovaných Evropskou unií. Tam výdaje vzrostou o více než 8 procent. Největšími investicemi budou obchvat Opavy za 274 miliony korun, výstavba bezpečnostního integrovaného centra v Ostravě za 265 milionů nebo například revitalizace okolí Svinovského nádraží za 115 milionů.</w:t>
      </w:r>
    </w:p>
    <w:p>
      <w:pPr/>
      <w:r>
        <w:rPr/>
        <w:t xml:space="preserve">Miroslav Novák (ČSSD), 1. náměstek hejtmana: </w:t>
      </w:r>
      <w:r>
        <w:rPr>
          <w:i w:val="1"/>
          <w:iCs w:val="1"/>
        </w:rPr>
        <w:t xml:space="preserve">"Největší částka v oblasti dopravy je věnována dopravní obslužnost ikraje, to znamená placení autobusové a vlakové dopravy. Ta částka přesahuje jednu miliardu korun. Dále to jsou investice do komunikací II. a III. třídy. To jsou stamiliony a záleží především na tom, jak budeme úspěšní v rámci Regionálního operačního programu. Počítáme pro příští rok zhruba s 400 miliony korun. v rámci Regionálního operačního programu."</w:t>
      </w:r>
    </w:p>
    <w:p>
      <w:pPr/>
      <w:r>
        <w:rPr/>
        <w:t xml:space="preserve">Přímo z prostředků kraje bude financována výstavba protihlukových stěn na silnicích II. a III. třídy, rekonstrukce pavilonu hemodialýzy ve Slezské nemocnici nebo například rekonstrukce Domova mládeže při Sportovním Gymnáziu Dany a Emila Zátopkových.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90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