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23.7.2010,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protipovodňové hrázi v Havířově už se může jezdit</w:t>
      </w:r>
    </w:p>
    <w:p>
      <w:pPr/>
      <w:r>
        <w:rPr/>
        <w:t xml:space="preserve">Stavba protipovodňové hráze byla jednou z podmínek, aby mohl být realizován projekt Areál volného času. Náklady na protipovodňové opatření byly přes 20 milionů korun s tím, že 10 milionů financoval Moravskoslezský kraj.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4409/po-protipovodnove-hrazi-v-havirove-uz-se-muze-jezd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2026-08-13T21:56:08+02:00</dcterms:created>
  <dcterms:modified xsi:type="dcterms:W3CDTF">2026-08-13T21:56:08+02:00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