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vyrovnaný rozpočet</w:t>
      </w:r>
    </w:p>
    <w:p>
      <w:pPr/>
      <w:r>
        <w:rPr/>
        <w:t xml:space="preserve">Dokument prošel zastupitelstvem poměrně hladce, pro hlasovalo dvaadvacet ze čtyřiadvaceti přítomných zastupitelů.</w:t>
      </w:r>
    </w:p>
    <w:p>
      <w:pPr/>
      <w:r>
        <w:rPr/>
        <w:t xml:space="preserve">Rozpočet nepočítá se zapojením úvěrových zdrojů. Největší část příjmů budou tvořit daně, v případě kapitálových příjmů se počítá s výnosem z uskutečnění schváleného záměru prodeje bytů, doprodeje nepotřebného nemovitého majetku, ale i z nedokončených prodejů z roku 2010. Důležitý zdroj financování budou i v příštím roce představovat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857/bruntalsti-zastupitele-schvalili-vyrovnan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2026-07-04T23:49:55+02:00</dcterms:created>
  <dcterms:modified xsi:type="dcterms:W3CDTF">2026-07-04T23:49:55+02:00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