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22.2.2011,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Havířov chce zdokonalit informovanost o smogu</w:t>
      </w:r>
    </w:p>
    <w:p>
      <w:pPr/>
      <w:r>
        <w:rPr/>
        <w:t xml:space="preserve">Havířovský magistrát zavedl centrální elektronickou adresu, ze které budou informace do jeslí, na základní a střední školy, dětské domovy, domovy pro seniory, nebo instituce sociálních služeb putovat přímo. Doposud byla praxe taková, že zaměstnanec odboru životního prostředí instituce informoval telefonicky. Nyní se celý proces informovanosti urychlí.</w:t>
      </w:r>
    </w:p>
    <w:p>
      <w:pPr/>
      <w:r>
        <w:rPr/>
        <w:t xml:space="preserve">Veřejnost havířovský magistrát informuje rovněž prostřednictvím svých webových stránek, kam umisťuje aktuální informace o stavu ovzduší z Českého hydrometeorologického ústavu.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365/mesto-havirov-chce-zdokonalit-informovanost-o-smo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2026-08-15T10:26:04+02:00</dcterms:created>
  <dcterms:modified xsi:type="dcterms:W3CDTF">2026-08-15T10:26:04+02:00</dcterms:modified>
</cp:coreProperties>
</file>

<file path=docProps/custom.xml><?xml version="1.0" encoding="utf-8"?>
<Properties xmlns="http://schemas.openxmlformats.org/officeDocument/2006/custom-properties" xmlns:vt="http://schemas.openxmlformats.org/officeDocument/2006/docPropsVTypes"/>
</file>