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oficiálně přijala za své občany dalších pět novorozených dětí</w:t>
      </w:r>
    </w:p>
    <w:p>
      <w:pPr/>
      <w:r>
        <w:rPr/>
        <w:t xml:space="preserve">Pozornost, kterou budili při slavnostním zápisu do obecní knihy, si proto právem zasloužili. První do obecní kolébky ulehla Anetka Kovářová.</w:t>
      </w:r>
    </w:p>
    <w:p>
      <w:pPr/>
      <w:r>
        <w:rPr/>
        <w:t xml:space="preserve">Po ní následoval jediný chlapeček, Filip Piskorz Rucháč a dalšími novými občankami se staly Anabella Schaefferová, Kateřina Wajdová Eliška Voigtová.</w:t>
      </w:r>
    </w:p>
    <w:p>
      <w:pPr/>
      <w:r>
        <w:rPr/>
        <w:t xml:space="preserve">Zbývá přát už jen zdraví, pohodu a hodně porozumění i pomoci, aby z nich rostly osobnosti, které to dobré, co teď dostávají do vínku, zase budou v dospělosti vracet svým rodičům i vlastním dětem.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439/stonava-oficialne-prijala-za-sve-obcany-dalsich-pet-novorozen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2026-04-30T08:23:21+02:00</dcterms:created>
  <dcterms:modified xsi:type="dcterms:W3CDTF">2026-04-30T08:23:21+02:00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