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radnice bude chtít od kraje 134 miliónů na životní prostředí</w:t>
      </w:r>
    </w:p>
    <w:p>
      <w:pPr/>
      <w:r>
        <w:rPr/>
        <w:t xml:space="preserve">Havířov bude požadovat dvě třetiny finančních prostředků. Celkově by se mělo jednat o 134 miliónů korun. Dotace bude čerpána v období let 2012 až 2016. Finance město použije například na vypracování projektové přípravy obchvatu Havířova, nákup jednoho autobusu na zemní plyn ročně, dále na ozdravné pobyty často nemocných dětí, výstavbu nových kontejnerových stání, včetně doplnění nových nádob na separaci odpadů, nebo na regeneraci a výsadbu zeleně. Zde patří patří například revitalizace parku za KD Radost, či obnova zeleně v parku Boženy Němcové.</w:t>
      </w:r>
    </w:p>
    <w:p>
      <w:pPr/>
      <w:r>
        <w:rPr/>
        <w:t xml:space="preserve">Havířov tímto krokem reaguje na uzavřené memorandum mezi městem Karviná a krajským úřadem. 80 až 100 miliónů korun, to je částka, kterou si vyjednalo sousední město, jako kompenzaci za vybudování spalovny komunálního odpadu v katastrálním území Karviné. Tento krok nelibě ohodnotili společně s Havířovem i ostatní sousední obce a města, která zřejmě rovněž budou od Moravskoslezského kraje žádat finanční prostředky na kompenzaci.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6864/havirovska-radnice-bude-chtit-od-kraje-134-milionu-na-zivotni-prostre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2026-08-16T01:44:21+02:00</dcterms:created>
  <dcterms:modified xsi:type="dcterms:W3CDTF">2026-08-16T01:44:21+02:00</dcterms:modified>
</cp:coreProperties>
</file>

<file path=docProps/custom.xml><?xml version="1.0" encoding="utf-8"?>
<Properties xmlns="http://schemas.openxmlformats.org/officeDocument/2006/custom-properties" xmlns:vt="http://schemas.openxmlformats.org/officeDocument/2006/docPropsVTypes"/>
</file>