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se chce připravit na zdražení elektřiny</w:t>
      </w:r>
    </w:p>
    <w:p>
      <w:pPr/>
      <w:r>
        <w:rPr/>
        <w:t xml:space="preserve">V minulém roce za elektrickou energii radnice zaplatila téměř 39 milionů korun. Zda v Havířově přistoupí k získání elektrické energie prostřednictvím elektronické aukce nebo přímým nákupem na komoditní burze, rozhodne v blízké budoucnosti vedení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559/havirovska-radnice-se-chce-pripravit-na-zdrazeni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2026-08-18T02:06:12+02:00</dcterms:created>
  <dcterms:modified xsi:type="dcterms:W3CDTF">2026-08-18T02:06:12+02:00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