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zakázala Dělnické straně sociální spravedlnosti mítink</w:t>
      </w:r>
    </w:p>
    <w:p>
      <w:pPr/>
      <w:r>
        <w:rPr/>
        <w:t xml:space="preserve">Radnice svůj zamítavý postoj odůvodnila takto: S přihlédnutím k nedávnému mítinku DSSS v Havířově a k projevům na něm prezentovaným, vznikly důvodné obavy, že při konání nebo skončení shromáždění může dojít k eskalaci nepřátelských nálad a následně k fyzickému násilí účastníků mítinku nebo občanů žijících v části Havířov-Šumbark.</w:t>
      </w:r>
    </w:p>
    <w:p>
      <w:pPr/>
      <w:r>
        <w:rPr/>
        <w:t xml:space="preserve">Dělnická strana sociální spravedlnosti s argumenty magistrátu nesouhlasí a podá žalobu ke Krajskému soudu v Ostravě. Předseda strany rovněž avizuje, že se mítink v nahlášeném termínu uskuteční za všech okolností.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15/havirovska-radnice-zakazala-delnicke-strane-socialni-spravedlnosti-mit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2026-08-18T21:58:03+02:00</dcterms:created>
  <dcterms:modified xsi:type="dcterms:W3CDTF">2026-08-18T21:58:03+02:00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