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značné části Ostravy budou zakázány veškeré výherní automaty</w:t>
      </w:r>
    </w:p>
    <w:p>
      <w:pPr/>
      <w:r>
        <w:rPr/>
        <w:t xml:space="preserve">Tomáš Petřík (ODS), náměstek primátora: </w:t>
      </w:r>
      <w:r>
        <w:rPr>
          <w:i w:val="1"/>
          <w:iCs w:val="1"/>
        </w:rPr>
        <w:t xml:space="preserve">„Primární je zájem občanů, občanů obvodů. Na druhou stranu tato činnost přináší obvodům určité finanční prostředky, takže si musí vedení obvodů zvážit, nakolik je vhodné tuto činnost regulovat." </w:t>
      </w:r>
      <w:r>
        <w:rPr/>
        <w:t xml:space="preserve"> Například Moravská Ostrava a Přívoz zakázala automaty plošně, tedy na celém území svého obvodu. Stejně tak i Polanka. V Porubě nesmí být automaty provozovány například na Hlavní třídě nebo Alšově náměstí. Zvláštní režim mají pouze kasina.   Lumír Palyza (ČSSD), starosta Poruby: </w:t>
      </w:r>
      <w:r>
        <w:rPr>
          <w:i w:val="1"/>
          <w:iCs w:val="1"/>
        </w:rPr>
        <w:t xml:space="preserve">„My tu možnost regulovat jednoznačně vítáme."  </w:t>
      </w:r>
      <w:r>
        <w:rPr/>
        <w:t xml:space="preserve">Petr Kajnar (ČSSD), primátor Ostravy:</w:t>
      </w:r>
      <w:r>
        <w:rPr>
          <w:i w:val="1"/>
          <w:iCs w:val="1"/>
        </w:rPr>
        <w:t xml:space="preserve"> „Já jsem rád, že obvody přistoupily k té regulaci."  </w:t>
      </w:r>
      <w:r>
        <w:rPr/>
        <w:t xml:space="preserve">Tato nová vyhláška by měla nabýt učinnosti 17. listopadu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755/ve-znacne-casti-ostravy-budou-zakazany-veskere-vyherni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2026-05-16T19:04:19+02:00</dcterms:created>
  <dcterms:modified xsi:type="dcterms:W3CDTF">2026-05-16T19:04:19+02:00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