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Polétavý prach a smog trápí i obyvatelé Havířova</w:t>
      </w:r>
    </w:p>
    <w:p>
      <w:pPr/>
      <w:r>
        <w:rPr/>
        <w:t xml:space="preserve">Smogová situace trápí také obyvatelé Havířova. Hodnoty polétavého prachu se pohybují okolo 200 mikrogramů na metr krychlový.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„Nejhorší je to večer, když si chce člověk vyvětrat, tak to je katastrofální." „Je to tak na plynovou masku a pro děti je to naprosto nevyhovující." „Ten smog je strašný. Já jsem ráno myslela, že to je mlha, ale ono to neustupuje."</w:t>
      </w:r>
    </w:p>
    <w:p>
      <w:pPr/>
      <w:r>
        <w:rPr/>
        <w:t xml:space="preserve">Nejhorší situace byla v noci ze soboty na neděli v Bohumíně, kdy se prašnost pohybovala nad 500 mikrogramy. Povolený limit je přitom do 50 mikrogramů na metr krychlový. Odborníci doporučují především dětem a seniorům, co nejkratší pobyt na tzv. čerstvém vzduchu. I motoristé by si měli uvědomit, že výfukové zplodiny situaci jen zhoršují.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993/poletavy-prach-a-smog-trapi-i-obyvatele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2026-08-20T04:48:40+02:00</dcterms:created>
  <dcterms:modified xsi:type="dcterms:W3CDTF">2026-08-20T04:48:40+02:00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