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Ostrava si půjčí 1,8 mld korun na zásadní investice</w:t>
      </w:r>
    </w:p>
    <w:p>
      <w:pPr/>
      <w:r>
        <w:rPr>
          <w:b w:val="1"/>
          <w:bCs w:val="1"/>
        </w:rPr>
        <w:t xml:space="preserve">Ostrava získala úvěr miliardu 800 milionů korun. Tyto peníze budou využity na financování zásadních investic v příštích 3 letech. Nejlepší podmínky městu nabídla Česká spořitelna.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vyloučené lokality Bedřiška bude vyhledávaná místo</w:t>
      </w:r>
    </w:p>
    <w:p>
      <w:pPr/>
      <w:r>
        <w:rPr>
          <w:b w:val="1"/>
          <w:bCs w:val="1"/>
        </w:rPr>
        <w:t xml:space="preserve">Bývalá hornická kolonie Bedřiška v Hulvákách se po zániku dolů na Ostravsku v průběhu let změnila ve vyloučenou lokalitu. Domky chátraly a zašlo to až tak daleko, že je městský obvod chtěl zbourat. Obyvatelé se ale semkli a přesvědčili vedení magistrátu, aby zde provedl revitalizaci a vrátil do Bedřišky život.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 </w:t>
      </w:r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09-2020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2026-04-09T20:33:40+02:00</dcterms:created>
  <dcterms:modified xsi:type="dcterms:W3CDTF">2026-04-09T20:33:40+02:00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