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doplatila úvěr na nové centrum</w:t>
      </w:r>
    </w:p>
    <w:p>
      <w:pPr/>
      <w:r>
        <w:rPr>
          <w:b w:val="1"/>
          <w:bCs w:val="1"/>
        </w:rPr>
        <w:t xml:space="preserve">Čeladná na konci září zaplatila poslední splátku ze 130 milionového úvěru, který použila na vybudování nového centra. Před dvaceti lety díky těmto financím proměnila zchátralý objekt bývalé textilní továrny, využívaný kdysi jako sklad armády, v důstojné náměstí s bytovými domy, obchody, ordinacemi lékařů a radnicí.</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Celkově si výstavba centra vyžádala přes 300 milionů korun. Obec část financovala z vlastních prostředků a část také z peněz, jež dopředu zaplatili lidí, kteří projevili zájem o nové bydlení kolem náměstí. Starou budovu tkalcovny připomíná tovární komín, na kterém se uhnízdili čápi.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1-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2026-07-02T19:18:13+02:00</dcterms:created>
  <dcterms:modified xsi:type="dcterms:W3CDTF">2026-07-02T19:18:13+02:00</dcterms:modified>
</cp:coreProperties>
</file>

<file path=docProps/custom.xml><?xml version="1.0" encoding="utf-8"?>
<Properties xmlns="http://schemas.openxmlformats.org/officeDocument/2006/custom-properties" xmlns:vt="http://schemas.openxmlformats.org/officeDocument/2006/docPropsVTypes"/>
</file>