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Velkokapacitní očkovací centrum už je v provozu</w:t>
      </w:r>
    </w:p>
    <w:p>
      <w:pPr/>
      <w:r>
        <w:rPr>
          <w:b w:val="1"/>
          <w:bCs w:val="1"/>
        </w:rPr>
        <w:t xml:space="preserve">Velkokapacitní očkovací centrum v Národním domě ve Frýdku-Místku už funguje. Díky dobré spolupráci magistrátu a Nemocnice ve Frýdku-Místku se ho podařilo otevřít s několikatýdenním předstihem. Zatím jede v testovacím režimu, kdy naočkuje zhruba 100 lidí denně. Během pár týdnů by se měla kapacita rozšířit až na desetinásobek.</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w:t>
      </w:r>
      <w:b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w:t>
      </w:r>
      <w:b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w:t>
      </w:r>
      <w:b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2026-02-15T15:10:02+01:00</dcterms:created>
  <dcterms:modified xsi:type="dcterms:W3CDTF">2026-02-15T15:10:02+01:00</dcterms:modified>
</cp:coreProperties>
</file>

<file path=docProps/custom.xml><?xml version="1.0" encoding="utf-8"?>
<Properties xmlns="http://schemas.openxmlformats.org/officeDocument/2006/custom-properties" xmlns:vt="http://schemas.openxmlformats.org/officeDocument/2006/docPropsVTypes"/>
</file>