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 zdraví lidí z Rychvaldu se stará nový praktický lékař</w:t>
      </w:r>
    </w:p>
    <w:p>
      <w:pPr/>
      <w:r>
        <w:rPr>
          <w:b w:val="1"/>
          <w:bCs w:val="1"/>
        </w:rPr>
        <w:t xml:space="preserve">Lidé z Rychvaldu a blízkého okolí se už několik dnů mohou registrovat u nového praktického lékaře. Ten svou ambulanci otevřel ve zdravotním středisku, které je dobře dostupné v centru města. Vedle běžných vyšetření mohou pacienti podstoupit například i EKG.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7-03-2021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2026-05-26T09:43:01+02:00</dcterms:created>
  <dcterms:modified xsi:type="dcterms:W3CDTF">2026-05-26T09:43:01+02:00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