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Výzva v Beskydech to žije podpoří rekordní počet projektů</w:t>
      </w:r>
    </w:p>
    <w:p>
      <w:pPr/>
      <w:r>
        <w:rPr>
          <w:b w:val="1"/>
          <w:bCs w:val="1"/>
        </w:rPr>
        <w:t xml:space="preserve">Místní akční skupina Frýdlantsko - Beskydy, se sídlem v Čeladné, vyhlásila loni v listopadu třetí ročník výzvy v dotačním titulu V Beskydech to žije. Žadatelé o podporu přihlásil rekordní počet projektů, bylo jich kolem 30, uspělo 21.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2026-02-08T00:38:11+01:00</dcterms:created>
  <dcterms:modified xsi:type="dcterms:W3CDTF">2026-02-08T00:38:11+01:00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