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„Pozvali jsme si dvě družstva z Krnov, kamarády. Hrajeme si, aby děti neseděly doma, aby se připravily na to OFS, takže hrajeme tady takový malý mini turnaj.Já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„Je to hrozně příjemné, že se trenéři takto věnují dětem. Andreásek má tréninky 2x týdně, středa, pátek. Jde vidět, že trenéři to opravdu dělají srdcem a s láskou a i ty tréninky takhle vypadají. Já tedy osobně s Adrém navštěvuji tréninky, protože je fajn, když ti rodiče můžou být u toho a vidí přesně, jak se jim trenéři věnují a o víkendech si můžeme s Andrém, pokud nejsme na turnaji, zahrát spolu.“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Krístýnka Rokosová, malá fotbalistka: </w:t>
      </w:r>
      <w:r>
        <w:rPr/>
        <w:t xml:space="preserve">„Nejtěžší je pro mě dát gól,když tam je v brance Fadýsek. Forbal mě moc baví, protože je to bezva hra. Nejtěžší je pro mě dát gól, když je v brance Fadýsek.“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