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/>
      <w:r>
        <w:rPr/>
        <w:t xml:space="preserve">Zprávy krátké, 31. 3. 2022, 1</w:t>
      </w:r>
    </w:p>
    <w:p>
      <w:pP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  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/>
      <w:r>
        <w:rPr/>
        <w:t xml:space="preserve">Zprávy krátké, 31. 3. 2022, 2 30 let od uzavření skládky na Radaru ve Studénce musí město kontrolovat kvalitu podzemní vody. Původní vrt se ale zhroutil a další už byly nevyhovující. Radnice proto nechala vybudovat zcela nový.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Házená jako přirozený pohyb pro rozvoj dětí</w:t>
      </w:r>
    </w:p>
    <w:p>
      <w:pPr/>
      <w:r>
        <w:rPr>
          <w:b w:val="1"/>
          <w:bCs w:val="1"/>
        </w:rPr>
        <w:t xml:space="preserve">V hodinách tělesné výchovy je podle odborníků nesmírně důležité, aby se zejména malé děti rozvíjely přirozeným způsobem. Proto vznikl projekt miniházené do škol. V Havířově školením prošlo na třicet učitelů, kteří pro žáky uspořádali první turnaj.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 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2026-06-24T15:49:39+02:00</dcterms:created>
  <dcterms:modified xsi:type="dcterms:W3CDTF">2026-06-24T15:49:39+02:00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