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realizuje řadu velkých investic</w:t>
      </w:r>
    </w:p>
    <w:p>
      <w:pPr/>
      <w:r>
        <w:rPr>
          <w:b w:val="1"/>
          <w:bCs w:val="1"/>
        </w:rPr>
        <w:t xml:space="preserve">Nová veřejná prostranství, důležité regenerace bytových domů i rekonstrukce kulturního domu. Slezská Ostrava realizuje řadu investic, které přispějí k lepšímu životu v obvodu. Nejvíce prací probíhá právě v letních měsících. Obvod letos proinvestuje přes 200 milionů korun.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přes 50 bytových domů. Dostaly zateplení, opravily  se střechy a další. Aktuálně probíhají ještě dokončovací práce na ulici 8.  března.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2025-12-26T23:39:59+01:00</dcterms:created>
  <dcterms:modified xsi:type="dcterms:W3CDTF">2025-12-26T23:39:59+01:00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