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Matematika v Čeladné není jen o drilu</w:t>
      </w:r>
    </w:p>
    <w:p>
      <w:pPr/>
      <w:r>
        <w:rPr>
          <w:b w:val="1"/>
          <w:bCs w:val="1"/>
        </w:rPr>
        <w:t xml:space="preserve">Zvýšit počtářské schopnosti u dětí a jejich zájem o matematiku se v Základní škole Čeladná snaří už několik let například zaváděním metody Abaku. Financována je z projektu OKAP II a podporuje ji i česká Mensa.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2026-02-06T19:32:52+01:00</dcterms:created>
  <dcterms:modified xsi:type="dcterms:W3CDTF">2026-02-06T19:32:52+01:00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