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Sokolnické lovy na Sovinci</w:t>
      </w:r>
    </w:p>
    <w:p>
      <w:pPr/>
      <w:r>
        <w:rPr>
          <w:b w:val="1"/>
          <w:bCs w:val="1"/>
        </w:rPr>
        <w:t xml:space="preserve">Sokolnické lovy jsou každoročně poslední velkou akcí sezóny na hradě Sovinci. Bylo tomu tak i letos a po celý víkend se na hrad sjížděly stovky návštěvníků, aby si užily zajímavý program, pro Sovinec typický. V hlavní roli totiž byli dravci a sovy.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Etnografická sbírka Muzea Novojičínska ukrývají tisíce zajímavých exponátů a patří mezi ně také ty, na kterých se objevují motivy rostlin. Co dříve jejich vyobrazení znamenalo a na čem všem se objevovaly, prezentuje nová výstava s názvem Z rajské zahrady.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filmovém festivalu ve Strážnici v roce 2015.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2026-02-08T15:54:35+01:00</dcterms:created>
  <dcterms:modified xsi:type="dcterms:W3CDTF">2026-02-08T15:54:35+01:00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