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Muzeum vysvětlovalo, co se událo před dvěma tisíci lety</w:t>
      </w:r>
    </w:p>
    <w:p>
      <w:pPr/>
      <w:r>
        <w:rPr>
          <w:b w:val="1"/>
          <w:bCs w:val="1"/>
        </w:rPr>
        <w:t xml:space="preserve">Muzeum Novojičínska zvalo v době adventu školní děti na edukační program Vánoce ve městě. Věnovalo se v něm také lidovým zvykům na venkově a obecně vysvětlovalo podstatu Vánoc v jejich křesťanském původu.</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doprovázela praktická část, děti zdobily perníky a slepovaly cukroví. Nazdobily si skleněnou baňku a dalším výrobkem, který si rovněž odnesly domů, byla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t xml:space="preserve">Další oblíbenou ukázkou programu bylo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Vánoce ve městě trvaly v Muzeu Novojičínska 12 dní, jak je používali naši předkové se tu dozvěděla zhruba tisícovka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12-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2026-09-24T12:29:21+02:00</dcterms:created>
  <dcterms:modified xsi:type="dcterms:W3CDTF">2026-09-24T12:29:21+02:00</dcterms:modified>
</cp:coreProperties>
</file>

<file path=docProps/custom.xml><?xml version="1.0" encoding="utf-8"?>
<Properties xmlns="http://schemas.openxmlformats.org/officeDocument/2006/custom-properties" xmlns:vt="http://schemas.openxmlformats.org/officeDocument/2006/docPropsVTypes"/>
</file>