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se pyšní titulem kulturní památka</w:t>
      </w:r>
    </w:p>
    <w:p>
      <w:pPr/>
      <w:r>
        <w:rPr>
          <w:b w:val="1"/>
          <w:bCs w:val="1"/>
        </w:rPr>
        <w:t xml:space="preserve">Nádherné vitráže, soustava komínků, secesní mříže sklepních oken a dveří. Unikátní stavba vítkovické radnice z pera významného vídeňského architekta Maxe von Ferstela, která vloni oslavila 120. výročí svého vzniku, byla prohlášena za kulturní památku.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>
          <w:i w:val="1"/>
          <w:iCs w:val="1"/>
        </w:rPr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5-0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2026-05-18T21:05:18+02:00</dcterms:created>
  <dcterms:modified xsi:type="dcterms:W3CDTF">2026-05-18T21:05:18+02:00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