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 Palkovice má v historii svou první vlastní radnici</w:t>
      </w:r>
    </w:p>
    <w:p>
      <w:pPr/>
      <w:r>
        <w:rPr>
          <w:b w:val="1"/>
          <w:bCs w:val="1"/>
        </w:rPr>
        <w:t xml:space="preserve">Obec Palkovice má po 633 letech konečně svou historicky první vlastní radnici. Postavena byla na místě původního zastaralého domu služeb. Stavbu už ocenili první návštěvníci a hosté slavnostního otevření.</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1-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2026-04-02T22:48:09+02:00</dcterms:created>
  <dcterms:modified xsi:type="dcterms:W3CDTF">2026-04-02T22:48:09+02:00</dcterms:modified>
</cp:coreProperties>
</file>

<file path=docProps/custom.xml><?xml version="1.0" encoding="utf-8"?>
<Properties xmlns="http://schemas.openxmlformats.org/officeDocument/2006/custom-properties" xmlns:vt="http://schemas.openxmlformats.org/officeDocument/2006/docPropsVTypes"/>
</file>