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Pohár z tenisového turnaje vybojovali Rychvaldští</w:t>
      </w:r>
    </w:p>
    <w:p>
      <w:pPr/>
      <w:r>
        <w:rPr>
          <w:b w:val="1"/>
          <w:bCs w:val="1"/>
        </w:rPr>
        <w:t xml:space="preserve">Putovní pohár každoročního klání v tenisové čtyřhře mezi Rychvaldem, Petřvaldem, Bohumínem a Dolní Lutyní tentokrát zůstává v Rychvaldě. Právě jeho tenisté se v turnaji dostali do finále, kde hráli o 1. a 2. místo.</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2026-02-11T06:57:46+01:00</dcterms:created>
  <dcterms:modified xsi:type="dcterms:W3CDTF">2026-02-11T06:57:46+01:00</dcterms:modified>
</cp:coreProperties>
</file>

<file path=docProps/custom.xml><?xml version="1.0" encoding="utf-8"?>
<Properties xmlns="http://schemas.openxmlformats.org/officeDocument/2006/custom-properties" xmlns:vt="http://schemas.openxmlformats.org/officeDocument/2006/docPropsVTypes"/>
</file>