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r>
        <w:rPr/>
        <w:t xml:space="preserve">Krátké zprávy 29. 6. 2023 16.00 - 1</w:t>
      </w:r>
    </w:p>
    <w:p>
      <w:pPr/>
      <w:r>
        <w:rPr/>
        <w:t xml:space="preserve">Severní spoj, který v centru Ostravy napojuje Mariánskohorskou ulici na dálnici D1, bude kvůli rozsáhlé rekonstrukci skoro 4 měsíce neprůjezdný. Díky jeho modernizaci bude opravená vozovka, mosty, protihlukové stěny i svodidla. Celá akce přijde na 95,5 milionu korun, Moravskoslezský kraj na ni jako investor získal dotaci z Evropského fondu pro regionální rozvoj.</w:t>
      </w:r>
      <w:br/>
    </w:p>
    <w:p>
      <w:pPr/>
      <w:r>
        <w:rPr/>
        <w:t xml:space="preserve">V Lucemburku byla slavnostně podepsána dohoda o pořízení a provozování kvantového počítače mezinárodního konsorcia LUMI-Q. Ten bude v roce 2024 instalován v Národním superpočítačovém centru IT4Innovations v Ostravě a stane se tak prvním českým kvantovým počítačem.</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r>
        <w:rPr/>
        <w:t xml:space="preserve">Krátké zprávy 29. 6. 2023 16.00 - 2</w:t>
      </w:r>
    </w:p>
    <w:p>
      <w:pPr/>
      <w:r>
        <w:rPr/>
        <w:t xml:space="preserve">Nárůst počtu pacientů se žloutenkou typu E, která byla dříve spíš vzácností, zaznamenávají lékaři v Moravskoslezském kraji. Zatímco loni podle krajských hygieniků onemocnělo touto infekcí 21 pacientů, letos lékařskou pomoc vyhledalo již 41 nakažených, z nich šest se nakazilo v červnu. Lékaři mají podezření na kontaminaci masem.</w:t>
      </w:r>
    </w:p>
    <w:p>
      <w:pPr/>
      <w:r>
        <w:rPr/>
        <w:t xml:space="preserve">Moravskoslezský kraj uvolní ze Zajišťovacího fondu, který je určený na řešení mimořádných událostí, půl milionu korun. Peníze rovným dílem rozdělí mezi majitele 5 rodinných domů v Oticích, které nejvíc poničily silné bouřky.</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2026-02-12T04:04:02+01:00</dcterms:created>
  <dcterms:modified xsi:type="dcterms:W3CDTF">2026-02-12T04:04:02+01:00</dcterms:modified>
</cp:coreProperties>
</file>

<file path=docProps/custom.xml><?xml version="1.0" encoding="utf-8"?>
<Properties xmlns="http://schemas.openxmlformats.org/officeDocument/2006/custom-properties" xmlns:vt="http://schemas.openxmlformats.org/officeDocument/2006/docPropsVTypes"/>
</file>