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MPSV chce pomoci obcím s vyloučenými lokalitami</w:t>
      </w:r>
    </w:p>
    <w:p>
      <w:pPr/>
      <w:r>
        <w:rPr>
          <w:b w:val="1"/>
          <w:bCs w:val="1"/>
        </w:rPr>
        <w:t xml:space="preserve">MS kraj je poměrně silně zatížen sociálním vyloučením. Ukazuje to nejen míra nezaměstnanosti, ale i počet vyplácených dávek v hmotné nouzi, a předčasných ukončování ZŠ. Potřeby obcí zatížených sociálním vyloučením mapuje MPSV.</w:t>
      </w:r>
    </w:p>
    <w:p>
      <w:pPr/>
      <w:r>
        <w:rPr/>
        <w:t xml:space="preserve">Do Vítkovic se opět sjeli zástupci měst a obcí MS kraje, které trápí dopady sociálního vyloučení. </w:t>
      </w:r>
    </w:p>
    <w:p>
      <w:pPr/>
      <w:r>
        <w:rPr>
          <w:b w:val="1"/>
          <w:bCs w:val="1"/>
        </w:rPr>
        <w:t xml:space="preserve">Margareta Michopulu,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trápí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nezmění."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5-07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