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navrhovaly podobu města do roku 2050</w:t>
      </w:r>
    </w:p>
    <w:p>
      <w:pPr/>
      <w:r>
        <w:rPr>
          <w:b w:val="1"/>
          <w:bCs w:val="1"/>
        </w:rPr>
        <w:t xml:space="preserve">Město Rychvald se zapojilo jako registrovaný regionální partner do unikátního projektu Evropa 2050 s tím, že uspořádalo regionální soutěžní výtvarnou přehlídku. Díla mohou postoupit do národního kola a následně evropského finále.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2026-02-15T05:32:30+01:00</dcterms:created>
  <dcterms:modified xsi:type="dcterms:W3CDTF">2026-02-15T05:32:30+01:00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